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820" w:firstLine="0"/>
        <w:spacing w:line="240" w:lineRule="auto"/>
        <w:rPr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1</w:t>
      </w:r>
      <w:r>
        <w:rPr>
          <w:sz w:val="22"/>
          <w:szCs w:val="22"/>
        </w:rPr>
        <w:t xml:space="preserve">4.1</w:t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tabs>
          <w:tab w:val="right" w:pos="963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2025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</w:r>
      <w:r>
        <w:rPr>
          <w:b/>
          <w:spacing w:val="40"/>
          <w:sz w:val="28"/>
          <w:szCs w:val="28"/>
        </w:rPr>
      </w:r>
    </w:p>
    <w:p>
      <w:pPr>
        <w:jc w:val="center"/>
        <w:rPr>
          <w:b/>
          <w:spacing w:val="40"/>
          <w:sz w:val="24"/>
          <w:szCs w:val="24"/>
        </w:rPr>
      </w:pPr>
      <w:r>
        <w:rPr>
          <w:b/>
          <w:spacing w:val="40"/>
          <w:sz w:val="24"/>
          <w:szCs w:val="24"/>
        </w:rPr>
        <w:t xml:space="preserve">НЕЗАВИСИМАЯ ГАРАНТИЯ</w:t>
      </w:r>
      <w:r>
        <w:rPr>
          <w:b/>
          <w:spacing w:val="40"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(ФОРМА)</w:t>
      </w:r>
      <w:r>
        <w:rPr>
          <w:b/>
          <w:sz w:val="24"/>
          <w:szCs w:val="24"/>
        </w:rPr>
      </w:r>
    </w:p>
    <w:p>
      <w:r/>
      <w:r/>
    </w:p>
    <w:p>
      <w:r/>
      <w:r/>
    </w:p>
    <w:tbl>
      <w:tblPr>
        <w:tblW w:w="4825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0"/>
        <w:gridCol w:w="1515"/>
      </w:tblGrid>
      <w:tr>
        <w:tblPrEx/>
        <w:trPr>
          <w:jc w:val="right"/>
          <w:trHeight w:val="373"/>
        </w:trPr>
        <w:tc>
          <w:tcPr>
            <w:tcBorders>
              <w:right w:val="single" w:color="000000" w:sz="4" w:space="0"/>
            </w:tcBorders>
            <w:tcW w:w="3310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Дата выдачи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jc w:val="right"/>
          <w:trHeight w:val="373"/>
        </w:trPr>
        <w:tc>
          <w:tcPr>
            <w:tcBorders>
              <w:right w:val="single" w:color="000000" w:sz="4" w:space="0"/>
            </w:tcBorders>
            <w:tcW w:w="3310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Номер независимой гарантии</w:t>
            </w:r>
            <w:r>
              <w:rPr>
                <w:rStyle w:val="679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/>
      <w:r/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гаранте, принципале, бенефициаре</w:t>
      </w:r>
      <w:r>
        <w:rPr>
          <w:sz w:val="26"/>
          <w:szCs w:val="26"/>
        </w:rPr>
      </w:r>
    </w:p>
    <w:p>
      <w:r/>
      <w:r/>
    </w:p>
    <w:tbl>
      <w:tblPr>
        <w:tblW w:w="963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7"/>
        <w:gridCol w:w="3422"/>
        <w:gridCol w:w="1134"/>
        <w:gridCol w:w="1473"/>
      </w:tblGrid>
      <w:tr>
        <w:tblPrEx/>
        <w:trPr>
          <w:trHeight w:val="240"/>
        </w:trPr>
        <w:tc>
          <w:tcPr>
            <w:tcMar>
              <w:left w:w="0" w:type="dxa"/>
              <w:right w:w="0" w:type="dxa"/>
            </w:tcMar>
            <w:tcW w:w="3607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422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3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t xml:space="preserve">Коды</w:t>
            </w:r>
            <w:r/>
          </w:p>
        </w:tc>
      </w:tr>
      <w:tr>
        <w:tblPrEx/>
        <w:trPr>
          <w:trHeight w:val="276"/>
        </w:trPr>
        <w:tc>
          <w:tcPr>
            <w:tcMar>
              <w:left w:w="0" w:type="dxa"/>
              <w:right w:w="0" w:type="dxa"/>
            </w:tcMar>
            <w:tcW w:w="3607" w:type="dxa"/>
            <w:vMerge w:val="restart"/>
            <w:textDirection w:val="lrTb"/>
            <w:noWrap w:val="false"/>
          </w:tcPr>
          <w:p>
            <w:r>
              <w:t xml:space="preserve">Полное наименование гаранта</w:t>
            </w:r>
            <w:r/>
          </w:p>
        </w:tc>
        <w:tc>
          <w:tcPr>
            <w:tcBorders>
              <w:bottom w:val="single" w:color="000000" w:sz="4" w:space="0"/>
            </w:tcBorders>
            <w:tcW w:w="3422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right w:w="0" w:type="dxa"/>
            </w:tcMar>
            <w:tcW w:w="3607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422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right w:w="0" w:type="dxa"/>
            </w:tcMar>
            <w:tcW w:w="3607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422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БИК</w:t>
            </w:r>
            <w:r>
              <w:rPr>
                <w:vertAlign w:val="superscript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right w:w="0" w:type="dxa"/>
            </w:tcMar>
            <w:tcW w:w="3607" w:type="dxa"/>
            <w:vAlign w:val="bottom"/>
            <w:textDirection w:val="lrTb"/>
            <w:noWrap w:val="false"/>
          </w:tcPr>
          <w:p>
            <w:r>
              <w:t xml:space="preserve">Идентификационный код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42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3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right w:w="0" w:type="dxa"/>
            </w:tcMar>
            <w:tcW w:w="3607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42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vertAlign w:val="superscript"/>
                <w:lang w:val="en-US"/>
              </w:rPr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>
              <w:rPr>
                <w:vertAlign w:val="superscript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right w:w="0" w:type="dxa"/>
            </w:tcMar>
            <w:tcW w:w="3607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</w:tcBorders>
            <w:tcW w:w="342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47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right w:w="0" w:type="dxa"/>
            </w:tcMar>
            <w:tcW w:w="3607" w:type="dxa"/>
            <w:vAlign w:val="bottom"/>
            <w:vMerge w:val="restart"/>
            <w:textDirection w:val="lrTb"/>
            <w:noWrap w:val="false"/>
          </w:tcPr>
          <w:p>
            <w:r>
              <w:t xml:space="preserve">Полное наименование</w:t>
            </w:r>
            <w:r>
              <w:br w:type="textWrapping" w:clear="all"/>
              <w:t xml:space="preserve">принципала</w:t>
            </w:r>
            <w:r/>
          </w:p>
        </w:tc>
        <w:tc>
          <w:tcPr>
            <w:tcBorders>
              <w:bottom w:val="single" w:color="000000" w:sz="4" w:space="0"/>
            </w:tcBorders>
            <w:tcW w:w="3422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>
              <w:rPr>
                <w:rStyle w:val="679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right w:w="0" w:type="dxa"/>
            </w:tcMar>
            <w:tcW w:w="3607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422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>
              <w:rPr>
                <w:rStyle w:val="679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right w:w="0" w:type="dxa"/>
            </w:tcMar>
            <w:tcW w:w="3607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принципала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42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right w:w="0" w:type="dxa"/>
            </w:tcMar>
            <w:tcW w:w="3607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</w:tcBorders>
            <w:tcW w:w="342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47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right w:w="0" w:type="dxa"/>
            </w:tcMar>
            <w:tcW w:w="3607" w:type="dxa"/>
            <w:vMerge w:val="restart"/>
            <w:textDirection w:val="lrTb"/>
            <w:noWrap w:val="false"/>
          </w:tcPr>
          <w:p>
            <w:r>
              <w:t xml:space="preserve">Полное наименование</w:t>
            </w:r>
            <w:r>
              <w:br w:type="textWrapping" w:clear="all"/>
              <w:t xml:space="preserve">бенефициара</w:t>
            </w:r>
            <w:r/>
          </w:p>
        </w:tc>
        <w:tc>
          <w:tcPr>
            <w:tcBorders>
              <w:bottom w:val="single" w:color="000000" w:sz="4" w:space="0"/>
            </w:tcBorders>
            <w:tcW w:w="3422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right w:w="0" w:type="dxa"/>
            </w:tcMar>
            <w:tcW w:w="3607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422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right w:w="0" w:type="dxa"/>
            </w:tcMar>
            <w:tcW w:w="3607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бенефициара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42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ОКТМО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/>
      <w:r/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закупке, для обеспечения договора, заключаемого</w:t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при осуществлении которой, предоставляется независимая гарантия</w:t>
      </w:r>
      <w:r>
        <w:rPr>
          <w:sz w:val="26"/>
          <w:szCs w:val="26"/>
        </w:rPr>
      </w:r>
    </w:p>
    <w:p>
      <w:r/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2758"/>
      </w:tblGrid>
      <w:tr>
        <w:tblPrEx/>
        <w:trPr>
          <w:trHeight w:val="240"/>
        </w:trPr>
        <w:tc>
          <w:tcPr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Номер извещения об осуществлении конкурентной закупки</w:t>
            </w:r>
            <w:r>
              <w:rPr>
                <w:vertAlign w:val="superscript"/>
              </w:rPr>
              <w:t xml:space="preserve">1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7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2758"/>
      </w:tblGrid>
      <w:tr>
        <w:tblPrEx/>
        <w:trPr>
          <w:trHeight w:val="240"/>
        </w:trPr>
        <w:tc>
          <w:tcPr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Предмет договора</w:t>
            </w:r>
            <w:r>
              <w:rPr>
                <w:rStyle w:val="679"/>
              </w:rPr>
              <w:t xml:space="preserve">4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7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Условия независимой гарантии</w:t>
      </w:r>
      <w:r>
        <w:rPr>
          <w:sz w:val="26"/>
          <w:szCs w:val="26"/>
        </w:rPr>
      </w:r>
    </w:p>
    <w:p>
      <w:r/>
      <w:r/>
    </w:p>
    <w:tbl>
      <w:tblPr>
        <w:tblW w:w="9469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4"/>
        <w:gridCol w:w="3363"/>
        <w:gridCol w:w="1115"/>
        <w:gridCol w:w="1447"/>
      </w:tblGrid>
      <w:tr>
        <w:tblPrEx/>
        <w:trPr>
          <w:trHeight w:val="1001"/>
        </w:trPr>
        <w:tc>
          <w:tcPr>
            <w:tcMar>
              <w:left w:w="0" w:type="dxa"/>
              <w:right w:w="0" w:type="dxa"/>
            </w:tcMar>
            <w:tcW w:w="3544" w:type="dxa"/>
            <w:vAlign w:val="bottom"/>
            <w:textDirection w:val="lrTb"/>
            <w:noWrap w:val="false"/>
          </w:tcPr>
          <w:p>
            <w:r>
              <w:t xml:space="preserve">Сумма независимой гарантии, подлежащая уплате гарантом бенефициару (далее — сумма независимой гарантии)</w:t>
            </w:r>
            <w:r/>
          </w:p>
        </w:tc>
        <w:tc>
          <w:tcPr>
            <w:tcBorders>
              <w:bottom w:val="single" w:color="000000" w:sz="4" w:space="0"/>
            </w:tcBorders>
            <w:tcW w:w="336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115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W w:w="1447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2"/>
        </w:trPr>
        <w:tc>
          <w:tcPr>
            <w:tcMar>
              <w:left w:w="0" w:type="dxa"/>
              <w:right w:w="0" w:type="dxa"/>
            </w:tcMar>
            <w:tcW w:w="3544" w:type="dxa"/>
            <w:vAlign w:val="bottom"/>
            <w:textDirection w:val="lrTb"/>
            <w:noWrap w:val="false"/>
          </w:tcPr>
          <w:p>
            <w:r>
              <w:t xml:space="preserve">Наименование валюты</w:t>
            </w:r>
            <w:r/>
          </w:p>
        </w:tc>
        <w:tc>
          <w:tcPr>
            <w:tcBorders>
              <w:bottom w:val="single" w:color="000000" w:sz="4" w:space="0"/>
            </w:tcBorders>
            <w:tcW w:w="336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115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7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501"/>
        </w:trPr>
        <w:tc>
          <w:tcPr>
            <w:tcMar>
              <w:left w:w="0" w:type="dxa"/>
              <w:right w:w="0" w:type="dxa"/>
            </w:tcMar>
            <w:tcW w:w="3544" w:type="dxa"/>
            <w:vAlign w:val="bottom"/>
            <w:textDirection w:val="lrTb"/>
            <w:noWrap w:val="false"/>
          </w:tcPr>
          <w:p>
            <w:r>
              <w:t xml:space="preserve">Срок вступления независимой</w:t>
            </w:r>
            <w:r/>
          </w:p>
          <w:p>
            <w:r>
              <w:t xml:space="preserve">гарантии в силу</w:t>
            </w:r>
            <w:r>
              <w:rPr>
                <w:rStyle w:val="679"/>
              </w:rPr>
              <w:t xml:space="preserve">5</w:t>
            </w:r>
            <w:r/>
          </w:p>
        </w:tc>
        <w:tc>
          <w:tcPr>
            <w:tcBorders>
              <w:bottom w:val="single" w:color="000000" w:sz="4" w:space="0"/>
            </w:tcBorders>
            <w:tcW w:w="336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115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W w:w="1447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485"/>
        </w:trPr>
        <w:tc>
          <w:tcPr>
            <w:tcMar>
              <w:left w:w="0" w:type="dxa"/>
              <w:right w:w="0" w:type="dxa"/>
            </w:tcMar>
            <w:tcW w:w="3544" w:type="dxa"/>
            <w:vAlign w:val="bottom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t xml:space="preserve">Срок действия независимой</w:t>
            </w:r>
            <w:r>
              <w:rPr>
                <w:lang w:val="en-US"/>
              </w:rPr>
            </w:r>
          </w:p>
          <w:p>
            <w:pPr>
              <w:rPr>
                <w:lang w:val="en-US"/>
              </w:rPr>
            </w:pPr>
            <w:r>
              <w:t xml:space="preserve">гарантии</w:t>
            </w:r>
            <w:r>
              <w:rPr>
                <w:vertAlign w:val="superscript"/>
              </w:rPr>
              <w:t xml:space="preserve">5</w:t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000000" w:sz="4" w:space="0"/>
            </w:tcBorders>
            <w:tcW w:w="336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115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W w:w="1447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 Настоящая независимая гарантия обеспечивает исполнение принципалом его обязательств, предусмотренных договором, заключенным (заключаемым) с бенефициаром, включающих в том числе обязательства принципала по уплате неустоек (штрафов, пеней).</w:t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 Настоящая независимая гарантия не может быть отозвана гарантом.</w:t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 Бенефициар в случае неисполне</w:t>
      </w:r>
      <w:r>
        <w:rPr>
          <w:sz w:val="23"/>
          <w:szCs w:val="23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— требование) в размере цены догово</w:t>
      </w:r>
      <w:r>
        <w:rPr>
          <w:sz w:val="23"/>
          <w:szCs w:val="23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 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3"/>
          <w:szCs w:val="23"/>
        </w:rPr>
      </w:r>
    </w:p>
    <w:p>
      <w:pPr>
        <w:jc w:val="both"/>
        <w:rPr>
          <w:sz w:val="2"/>
          <w:szCs w:val="2"/>
        </w:rPr>
      </w:pPr>
      <w:r>
        <w:rPr>
          <w:sz w:val="23"/>
          <w:szCs w:val="23"/>
        </w:rPr>
        <w:t xml:space="preserve">5. 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</w:t>
      </w:r>
      <w:r>
        <w:rPr>
          <w:sz w:val="23"/>
          <w:szCs w:val="23"/>
        </w:rPr>
        <w:br w:type="textWrapping" w:clear="all"/>
      </w:r>
      <w:r>
        <w:rPr>
          <w:sz w:val="2"/>
          <w:szCs w:val="2"/>
        </w:rPr>
      </w:r>
    </w:p>
    <w:tbl>
      <w:tblPr>
        <w:tblW w:w="9685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7"/>
        <w:gridCol w:w="8430"/>
        <w:gridCol w:w="138"/>
      </w:tblGrid>
      <w:tr>
        <w:tblPrEx/>
        <w:trPr>
          <w:trHeight w:val="184"/>
        </w:trPr>
        <w:tc>
          <w:tcPr>
            <w:tcW w:w="1117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адресу: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8435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33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3"/>
                <w:szCs w:val="23"/>
              </w:rPr>
            </w:pPr>
            <w:r>
              <w:rPr>
                <w:rStyle w:val="679"/>
              </w:rPr>
              <w:t xml:space="preserve">6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</w:p>
        </w:tc>
      </w:tr>
    </w:tbl>
    <w:p>
      <w:pPr>
        <w:jc w:val="both"/>
        <w:rPr>
          <w:sz w:val="2"/>
          <w:szCs w:val="2"/>
        </w:rPr>
      </w:pPr>
      <w:r>
        <w:rPr>
          <w:sz w:val="23"/>
          <w:szCs w:val="23"/>
        </w:rPr>
        <w:t xml:space="preserve">6. Требование в форме электронного документа должно быть направлено (в случае если бенефи-</w:t>
      </w:r>
      <w:r>
        <w:rPr>
          <w:sz w:val="23"/>
          <w:szCs w:val="23"/>
        </w:rPr>
        <w:br w:type="textWrapping" w:clear="all"/>
      </w:r>
      <w:r>
        <w:rPr>
          <w:sz w:val="2"/>
          <w:szCs w:val="2"/>
        </w:rPr>
      </w:r>
    </w:p>
    <w:tbl>
      <w:tblPr>
        <w:tblW w:w="9635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33"/>
        <w:gridCol w:w="2764"/>
        <w:gridCol w:w="138"/>
      </w:tblGrid>
      <w:tr>
        <w:tblPrEx/>
        <w:trPr>
          <w:trHeight w:val="165"/>
        </w:trPr>
        <w:tc>
          <w:tcPr>
            <w:tcW w:w="6737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циар направляет требование гаранту в форме электронного документа)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2766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3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3"/>
                <w:szCs w:val="23"/>
              </w:rPr>
            </w:pPr>
            <w:r>
              <w:rPr>
                <w:rStyle w:val="679"/>
              </w:rPr>
              <w:t xml:space="preserve">7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</w:p>
        </w:tc>
      </w:tr>
    </w:tbl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7. В случае направления требования бенефициар обязан одновременно с таким требованием направить гаранту:</w:t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а) расчет суммы, включаемой в требование по настоящей независимой гарантии;</w:t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б) документ, содержащий указание на нарушения принципалом обязательств, предусмотренных договором;</w:t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в) документ, подтверждающий полномочия лица, подписавшего требование по настоящей независимой гарантии от</w:t>
      </w:r>
      <w:r>
        <w:rPr>
          <w:sz w:val="23"/>
          <w:szCs w:val="23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 В случае направления требования бенефициаром на бумажном носителе предст</w:t>
      </w:r>
      <w:r>
        <w:rPr>
          <w:sz w:val="23"/>
          <w:szCs w:val="23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3"/>
          <w:szCs w:val="23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3"/>
          <w:szCs w:val="23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9. 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гарантии.</w:t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10. 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3"/>
          <w:szCs w:val="23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11. Обязательство гаранта перед бенефициаром считается исполненным надл</w:t>
      </w:r>
      <w:r>
        <w:rPr>
          <w:sz w:val="23"/>
          <w:szCs w:val="23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12. Гарант в случае просрочки исполнения обя</w:t>
      </w:r>
      <w:r>
        <w:rPr>
          <w:sz w:val="23"/>
          <w:szCs w:val="23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3"/>
          <w:szCs w:val="23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13. 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14. Исключение банка (если настоящая независимая гарантия выдана банк</w:t>
      </w:r>
      <w:r>
        <w:rPr>
          <w:sz w:val="23"/>
          <w:szCs w:val="23"/>
        </w:rPr>
        <w:t xml:space="preserve">ом) из 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</w:t>
      </w:r>
      <w:r>
        <w:rPr>
          <w:sz w:val="23"/>
          <w:szCs w:val="23"/>
        </w:rPr>
        <w:t xml:space="preserve">ьств), 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</w:t>
      </w:r>
      <w:r>
        <w:rPr>
          <w:sz w:val="23"/>
          <w:szCs w:val="23"/>
        </w:rPr>
        <w:t xml:space="preserve"> таким фондом), из перечня, предусмотренного частью 1.7 указанной статьи,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3"/>
          <w:szCs w:val="23"/>
        </w:rPr>
      </w:r>
    </w:p>
    <w:p>
      <w:pPr>
        <w:rPr>
          <w:sz w:val="2"/>
          <w:szCs w:val="2"/>
        </w:rPr>
      </w:pPr>
      <w:r>
        <w:rPr>
          <w:sz w:val="23"/>
          <w:szCs w:val="23"/>
        </w:rPr>
        <w:t xml:space="preserve">15. Споры, возникающие в связи с исполнением обязательств по настоящей независимой гарантии, подлежат рассмотрению в арбитражном суде Хабаровского края.</w:t>
      </w:r>
      <w:r>
        <w:rPr>
          <w:sz w:val="23"/>
          <w:szCs w:val="23"/>
        </w:rPr>
        <w:br w:type="textWrapping" w:clear="all"/>
      </w:r>
      <w:r>
        <w:rPr>
          <w:sz w:val="2"/>
          <w:szCs w:val="2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16. Настоящая независимая гарантия выдана в пользу бенефициара, и права требования по ней не мог</w:t>
      </w:r>
      <w:r>
        <w:rPr>
          <w:sz w:val="23"/>
          <w:szCs w:val="23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17. Дополнительные условия</w:t>
      </w:r>
      <w:r>
        <w:rPr>
          <w:sz w:val="23"/>
          <w:szCs w:val="23"/>
          <w:vertAlign w:val="superscript"/>
        </w:rPr>
        <w:t xml:space="preserve">1, </w:t>
      </w:r>
      <w:r>
        <w:rPr>
          <w:rStyle w:val="679"/>
          <w:sz w:val="23"/>
          <w:szCs w:val="23"/>
        </w:rPr>
        <w:t xml:space="preserve">8</w:t>
      </w:r>
      <w:r>
        <w:rPr>
          <w:sz w:val="23"/>
          <w:szCs w:val="23"/>
        </w:rPr>
        <w:t xml:space="preserve">.</w:t>
      </w:r>
      <w:r>
        <w:rPr>
          <w:sz w:val="23"/>
          <w:szCs w:val="23"/>
        </w:rPr>
      </w:r>
    </w:p>
    <w:p>
      <w:r/>
      <w:r/>
    </w:p>
    <w:p>
      <w:r/>
      <w:r/>
    </w:p>
    <w:p>
      <w:r/>
      <w:r/>
    </w:p>
    <w:p>
      <w:pPr>
        <w:rPr>
          <w:lang w:val="en-US"/>
        </w:rPr>
      </w:pPr>
      <w:r>
        <w:t xml:space="preserve">Уполномоченное</w:t>
      </w:r>
      <w:r>
        <w:rPr>
          <w:lang w:val="en-US"/>
        </w:rPr>
      </w:r>
    </w:p>
    <w:tbl>
      <w:tblPr>
        <w:tblW w:w="9583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7"/>
        <w:gridCol w:w="2666"/>
        <w:gridCol w:w="132"/>
        <w:gridCol w:w="1600"/>
        <w:gridCol w:w="133"/>
        <w:gridCol w:w="3065"/>
      </w:tblGrid>
      <w:tr>
        <w:tblPrEx/>
        <w:trPr>
          <w:trHeight w:val="300"/>
        </w:trPr>
        <w:tc>
          <w:tcPr>
            <w:tcMar>
              <w:left w:w="0" w:type="dxa"/>
              <w:right w:w="0" w:type="dxa"/>
            </w:tcMar>
            <w:tcW w:w="1987" w:type="dxa"/>
            <w:vAlign w:val="bottom"/>
            <w:textDirection w:val="lrTb"/>
            <w:noWrap w:val="false"/>
          </w:tcPr>
          <w:p>
            <w:r>
              <w:t xml:space="preserve">лицо гаранта</w:t>
            </w:r>
            <w:r/>
          </w:p>
        </w:tc>
        <w:tc>
          <w:tcPr>
            <w:tcBorders>
              <w:bottom w:val="single" w:color="000000" w:sz="4" w:space="0"/>
            </w:tcBorders>
            <w:tcW w:w="2666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3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160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3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06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09"/>
        </w:trPr>
        <w:tc>
          <w:tcPr>
            <w:tcMar>
              <w:left w:w="0" w:type="dxa"/>
              <w:right w:w="0" w:type="dxa"/>
            </w:tcMar>
            <w:tcW w:w="1987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2666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(должность)</w:t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32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1600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(подпись)</w:t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33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3065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(расшифровка подписи)</w:t>
            </w:r>
            <w:r>
              <w:rPr>
                <w:iCs/>
                <w:sz w:val="14"/>
                <w:szCs w:val="14"/>
              </w:rPr>
            </w:r>
          </w:p>
        </w:tc>
      </w:tr>
    </w:tbl>
    <w:p>
      <w:pPr>
        <w:rPr>
          <w:sz w:val="10"/>
          <w:szCs w:val="2"/>
          <w:lang w:val="en-US"/>
        </w:rPr>
      </w:pP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</w:p>
    <w:tbl>
      <w:tblPr>
        <w:tblW w:w="383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>
        <w:tblPrEx/>
        <w:trPr>
          <w:trHeight w:val="240"/>
        </w:trPr>
        <w:tc>
          <w:tcPr>
            <w:tcW w:w="140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«</w:t>
            </w:r>
            <w:r/>
          </w:p>
        </w:tc>
        <w:tc>
          <w:tcPr>
            <w:tcBorders>
              <w:bottom w:val="single" w:color="000000" w:sz="4" w:space="0"/>
            </w:tcBorders>
            <w:tcW w:w="41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r>
              <w:t xml:space="preserve">»</w:t>
            </w:r>
            <w:r/>
          </w:p>
        </w:tc>
        <w:tc>
          <w:tcPr>
            <w:tcBorders>
              <w:bottom w:val="single" w:color="000000" w:sz="4" w:space="0"/>
            </w:tcBorders>
            <w:tcW w:w="19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36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20</w:t>
            </w:r>
            <w:r/>
          </w:p>
        </w:tc>
        <w:tc>
          <w:tcPr>
            <w:tcBorders>
              <w:bottom w:val="single" w:color="000000" w:sz="4" w:space="0"/>
            </w:tcBorders>
            <w:tcW w:w="406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W w:w="29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г.</w:t>
            </w:r>
            <w:r/>
          </w:p>
        </w:tc>
      </w:tr>
    </w:tbl>
    <w:p>
      <w:pPr>
        <w:rPr>
          <w:sz w:val="10"/>
          <w:szCs w:val="2"/>
          <w:lang w:val="en-US"/>
        </w:rPr>
      </w:pP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</w:p>
    <w:tbl>
      <w:tblPr>
        <w:tblW w:w="2834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1133"/>
      </w:tblGrid>
      <w:tr>
        <w:tblPrEx/>
        <w:trPr>
          <w:jc w:val="right"/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Лист №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jc w:val="right"/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Всего листов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/>
      <w:r/>
    </w:p>
    <w:p>
      <w:r>
        <w:t xml:space="preserve">_____________________________________</w:t>
      </w:r>
      <w:r/>
    </w:p>
    <w:p>
      <w:pPr>
        <w:pStyle w:val="677"/>
        <w:jc w:val="both"/>
        <w:rPr>
          <w:sz w:val="16"/>
          <w:szCs w:val="16"/>
        </w:rPr>
      </w:pPr>
      <w:r>
        <w:rPr>
          <w:rStyle w:val="679"/>
          <w:sz w:val="16"/>
          <w:szCs w:val="16"/>
        </w:rPr>
        <w:t xml:space="preserve">1</w:t>
      </w:r>
      <w:r>
        <w:rPr>
          <w:sz w:val="16"/>
          <w:szCs w:val="16"/>
        </w:rPr>
        <w:t xml:space="preserve"> Указывается при наличии.</w:t>
      </w:r>
      <w:r>
        <w:rPr>
          <w:sz w:val="16"/>
          <w:szCs w:val="16"/>
        </w:rPr>
      </w:r>
    </w:p>
    <w:p>
      <w:pPr>
        <w:pStyle w:val="677"/>
        <w:jc w:val="both"/>
        <w:rPr>
          <w:sz w:val="16"/>
          <w:szCs w:val="16"/>
        </w:rPr>
      </w:pPr>
      <w:r>
        <w:rPr>
          <w:rStyle w:val="679"/>
          <w:sz w:val="16"/>
          <w:szCs w:val="16"/>
        </w:rPr>
        <w:t xml:space="preserve">2</w:t>
      </w:r>
      <w:r>
        <w:rPr>
          <w:sz w:val="16"/>
          <w:szCs w:val="16"/>
        </w:rPr>
        <w:t xml:space="preserve"> В случае отсутствия у иностранного лица и</w:t>
      </w:r>
      <w:r>
        <w:rPr>
          <w:sz w:val="16"/>
          <w:szCs w:val="16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>
        <w:rPr>
          <w:sz w:val="16"/>
          <w:szCs w:val="16"/>
        </w:rPr>
      </w:r>
    </w:p>
    <w:p>
      <w:pPr>
        <w:pStyle w:val="677"/>
        <w:jc w:val="both"/>
        <w:rPr>
          <w:sz w:val="16"/>
          <w:szCs w:val="16"/>
        </w:rPr>
      </w:pPr>
      <w:r>
        <w:rPr>
          <w:rStyle w:val="679"/>
          <w:sz w:val="16"/>
          <w:szCs w:val="16"/>
        </w:rPr>
        <w:t xml:space="preserve">3</w:t>
      </w:r>
      <w:r>
        <w:rPr>
          <w:sz w:val="16"/>
          <w:szCs w:val="16"/>
        </w:rPr>
        <w:t xml:space="preserve"> Указывается, если принципал является юридическим лицом, аккредитованным филиалом или представительством иностранного юридического лица.</w:t>
      </w:r>
      <w:r>
        <w:rPr>
          <w:sz w:val="16"/>
          <w:szCs w:val="16"/>
        </w:rPr>
      </w:r>
    </w:p>
    <w:p>
      <w:pPr>
        <w:pStyle w:val="677"/>
        <w:jc w:val="both"/>
        <w:rPr>
          <w:sz w:val="16"/>
          <w:szCs w:val="16"/>
        </w:rPr>
      </w:pPr>
      <w:r>
        <w:rPr>
          <w:rStyle w:val="679"/>
          <w:sz w:val="16"/>
          <w:szCs w:val="16"/>
        </w:rPr>
        <w:t xml:space="preserve">4</w:t>
      </w:r>
      <w:r>
        <w:rPr>
          <w:sz w:val="16"/>
          <w:szCs w:val="16"/>
        </w:rPr>
        <w:t xml:space="preserve"> Указывается в соответствии с извещением об осуществлении конкурентной закупки.</w:t>
      </w:r>
      <w:r>
        <w:rPr>
          <w:sz w:val="16"/>
          <w:szCs w:val="16"/>
        </w:rPr>
      </w:r>
    </w:p>
    <w:p>
      <w:pPr>
        <w:pStyle w:val="677"/>
        <w:jc w:val="both"/>
        <w:rPr>
          <w:sz w:val="16"/>
          <w:szCs w:val="16"/>
        </w:rPr>
      </w:pPr>
      <w:r>
        <w:rPr>
          <w:rStyle w:val="679"/>
          <w:sz w:val="16"/>
          <w:szCs w:val="16"/>
        </w:rPr>
        <w:t xml:space="preserve">5</w:t>
      </w:r>
      <w:r>
        <w:rPr>
          <w:sz w:val="16"/>
          <w:szCs w:val="16"/>
        </w:rPr>
        <w:t xml:space="preserve"> 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событие</w:t>
      </w:r>
      <w:r>
        <w:rPr>
          <w:sz w:val="16"/>
          <w:szCs w:val="16"/>
        </w:rPr>
        <w:t xml:space="preserve">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один месяц, в том числе в случае его изменения.</w:t>
      </w:r>
      <w:r>
        <w:rPr>
          <w:sz w:val="16"/>
          <w:szCs w:val="16"/>
        </w:rPr>
      </w:r>
    </w:p>
    <w:p>
      <w:pPr>
        <w:pStyle w:val="677"/>
        <w:jc w:val="both"/>
        <w:rPr>
          <w:sz w:val="16"/>
          <w:szCs w:val="16"/>
        </w:rPr>
      </w:pPr>
      <w:r>
        <w:rPr>
          <w:rStyle w:val="679"/>
          <w:sz w:val="16"/>
          <w:szCs w:val="16"/>
        </w:rPr>
        <w:t xml:space="preserve">6</w:t>
      </w:r>
      <w:r>
        <w:rPr>
          <w:sz w:val="16"/>
          <w:szCs w:val="16"/>
        </w:rPr>
        <w:t xml:space="preserve"> Указывается почтовый адрес.</w:t>
      </w:r>
      <w:r>
        <w:rPr>
          <w:sz w:val="16"/>
          <w:szCs w:val="16"/>
        </w:rPr>
      </w:r>
    </w:p>
    <w:p>
      <w:pPr>
        <w:pStyle w:val="677"/>
        <w:jc w:val="both"/>
        <w:rPr>
          <w:sz w:val="16"/>
          <w:szCs w:val="16"/>
        </w:rPr>
      </w:pPr>
      <w:r>
        <w:rPr>
          <w:rStyle w:val="679"/>
          <w:sz w:val="16"/>
          <w:szCs w:val="16"/>
        </w:rPr>
        <w:t xml:space="preserve">7</w:t>
      </w:r>
      <w:r>
        <w:rPr>
          <w:sz w:val="16"/>
          <w:szCs w:val="16"/>
        </w:rPr>
        <w:t xml:space="preserve"> Указываются адрес электронной почты и (или) наименование информационной системы.</w:t>
      </w:r>
      <w:r>
        <w:rPr>
          <w:sz w:val="16"/>
          <w:szCs w:val="16"/>
        </w:rPr>
      </w:r>
    </w:p>
    <w:p>
      <w:pPr>
        <w:pStyle w:val="677"/>
        <w:jc w:val="both"/>
        <w:rPr>
          <w:sz w:val="16"/>
          <w:szCs w:val="16"/>
        </w:rPr>
      </w:pPr>
      <w:r>
        <w:rPr>
          <w:rStyle w:val="679"/>
          <w:sz w:val="16"/>
          <w:szCs w:val="16"/>
        </w:rPr>
        <w:t xml:space="preserve">8 </w:t>
      </w:r>
      <w:r>
        <w:rPr>
          <w:sz w:val="16"/>
          <w:szCs w:val="16"/>
        </w:rPr>
        <w:t xml:space="preserve">Не должны противоречить положениям извещения об осуществлении конкурентной закупки, документации о конкурентной закупке и Положения о закупке бенефициара, а также требованиям к условиям независимой гарантии</w:t>
      </w:r>
      <w:r>
        <w:rPr>
          <w:sz w:val="16"/>
          <w:szCs w:val="16"/>
        </w:rPr>
        <w:t xml:space="preserve">, установленным постановлением Правительства Российской Федерации от 9 августа 2022 г. № 1397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</w:t>
      </w:r>
      <w:r>
        <w:rPr>
          <w:sz w:val="16"/>
          <w:szCs w:val="16"/>
        </w:rPr>
        <w:t xml:space="preserve">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Федерации».</w:t>
      </w:r>
      <w:r>
        <w:rPr>
          <w:sz w:val="16"/>
          <w:szCs w:val="16"/>
        </w:rPr>
      </w:r>
    </w:p>
    <w:p>
      <w:pPr>
        <w:jc w:val="left"/>
      </w:pPr>
      <w:r/>
      <w:r/>
    </w:p>
    <w:p>
      <w:pPr>
        <w:jc w:val="left"/>
      </w:pPr>
      <w:r/>
      <w:r/>
    </w:p>
    <w:p>
      <w:pPr>
        <w:jc w:val="both"/>
        <w:rPr>
          <w:b w:val="0"/>
          <w:bCs w:val="0"/>
        </w:rPr>
      </w:pPr>
      <w:r>
        <w:rPr>
          <w:b w:val="0"/>
          <w:bCs w:val="0"/>
        </w:rPr>
        <w:t xml:space="preserve">Форма согласована:</w:t>
      </w:r>
      <w:r>
        <w:rPr>
          <w:b w:val="0"/>
          <w:bCs w:val="0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tabs>
          <w:tab w:val="left" w:pos="225" w:leader="none"/>
        </w:tabs>
      </w:pPr>
      <w:r/>
      <w:r/>
    </w:p>
    <w:p>
      <w:pPr>
        <w:jc w:val="right"/>
      </w:pPr>
      <w:r/>
      <w:r/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85"/>
        <w:gridCol w:w="4854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spacing w:after="20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Заказчик: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  <w:tc>
          <w:tcPr>
            <w:tcW w:w="4854" w:type="dxa"/>
            <w:textDirection w:val="lrTb"/>
            <w:noWrap w:val="false"/>
          </w:tcPr>
          <w:p>
            <w:pPr>
              <w:spacing w:after="200"/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Подрядчик:</w:t>
            </w:r>
            <w:r>
              <w:rPr>
                <w:rFonts w:eastAsia="Calibri"/>
                <w:b/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spacing w:after="200"/>
              <w:rPr>
                <w:rFonts w:ascii="Calibri" w:hAnsi="Calibri" w:eastAsia="Calibri"/>
                <w:sz w:val="26"/>
                <w:szCs w:val="26"/>
                <w:lang w:eastAsia="en-US"/>
              </w:rPr>
            </w:pPr>
            <w:r>
              <w:rPr>
                <w:rFonts w:ascii="Calibri" w:hAnsi="Calibri" w:eastAsia="Calibri"/>
                <w:sz w:val="26"/>
                <w:szCs w:val="26"/>
                <w:lang w:eastAsia="en-US"/>
              </w:rPr>
            </w:r>
            <w:r>
              <w:rPr>
                <w:rFonts w:ascii="Calibri" w:hAnsi="Calibri" w:eastAsia="Calibri"/>
                <w:sz w:val="26"/>
                <w:szCs w:val="26"/>
                <w:lang w:eastAsia="en-US"/>
              </w:rPr>
            </w:r>
          </w:p>
          <w:p>
            <w:pPr>
              <w:spacing w:after="200"/>
              <w:rPr>
                <w:rFonts w:ascii="Calibri" w:hAnsi="Calibri" w:eastAsia="Calibri"/>
                <w:sz w:val="26"/>
                <w:szCs w:val="26"/>
                <w:lang w:eastAsia="en-US"/>
              </w:rPr>
            </w:pPr>
            <w:r>
              <w:rPr>
                <w:rFonts w:ascii="Calibri" w:hAnsi="Calibri" w:eastAsia="Calibri"/>
                <w:sz w:val="26"/>
                <w:szCs w:val="26"/>
                <w:lang w:eastAsia="en-US"/>
              </w:rPr>
              <w:t xml:space="preserve">_______________ / _______________ </w:t>
            </w:r>
            <w:r>
              <w:rPr>
                <w:rFonts w:ascii="Calibri" w:hAnsi="Calibri" w:eastAsia="Calibri"/>
                <w:sz w:val="26"/>
                <w:szCs w:val="26"/>
                <w:lang w:eastAsia="en-US"/>
              </w:rPr>
            </w:r>
          </w:p>
        </w:tc>
        <w:tc>
          <w:tcPr>
            <w:tcW w:w="4854" w:type="dxa"/>
            <w:textDirection w:val="lrTb"/>
            <w:noWrap w:val="false"/>
          </w:tcPr>
          <w:p>
            <w:pPr>
              <w:spacing w:after="200"/>
              <w:rPr>
                <w:rFonts w:ascii="Calibri" w:hAnsi="Calibri" w:eastAsia="Calibri"/>
                <w:sz w:val="26"/>
                <w:szCs w:val="26"/>
                <w:lang w:eastAsia="en-US"/>
              </w:rPr>
            </w:pPr>
            <w:r>
              <w:rPr>
                <w:rFonts w:ascii="Calibri" w:hAnsi="Calibri" w:eastAsia="Calibri"/>
                <w:sz w:val="26"/>
                <w:szCs w:val="26"/>
                <w:lang w:eastAsia="en-US"/>
              </w:rPr>
            </w:r>
            <w:r>
              <w:rPr>
                <w:rFonts w:ascii="Calibri" w:hAnsi="Calibri" w:eastAsia="Calibri"/>
                <w:sz w:val="26"/>
                <w:szCs w:val="26"/>
                <w:lang w:eastAsia="en-US"/>
              </w:rPr>
            </w:r>
          </w:p>
          <w:p>
            <w:pPr>
              <w:spacing w:after="200"/>
              <w:rPr>
                <w:rFonts w:ascii="Calibri" w:hAnsi="Calibri" w:eastAsia="Calibri"/>
                <w:sz w:val="26"/>
                <w:szCs w:val="26"/>
                <w:lang w:eastAsia="en-US"/>
              </w:rPr>
            </w:pPr>
            <w:r>
              <w:rPr>
                <w:rFonts w:ascii="Calibri" w:hAnsi="Calibri" w:eastAsia="Calibri"/>
                <w:sz w:val="26"/>
                <w:szCs w:val="26"/>
                <w:lang w:eastAsia="en-US"/>
              </w:rPr>
              <w:t xml:space="preserve">_______________ / _______________ </w:t>
            </w:r>
            <w:r>
              <w:rPr>
                <w:rFonts w:ascii="Calibri" w:hAnsi="Calibri" w:eastAsia="Calibri"/>
                <w:sz w:val="26"/>
                <w:szCs w:val="26"/>
                <w:lang w:eastAsia="en-US"/>
              </w:rPr>
            </w:r>
          </w:p>
        </w:tc>
      </w:tr>
    </w:tbl>
    <w:p>
      <w:r/>
      <w:bookmarkStart w:id="0" w:name="_GoBack"/>
      <w:r/>
      <w:bookmarkEnd w:id="0"/>
      <w:r/>
      <w:r/>
    </w:p>
    <w:sectPr>
      <w:footerReference w:type="default" r:id="rId8"/>
      <w:footnotePr/>
      <w:endnotePr/>
      <w:type w:val="nextPage"/>
      <w:pgSz w:w="11906" w:h="16838" w:orient="portrait"/>
      <w:pgMar w:top="1134" w:right="851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2"/>
      <w:jc w:val="right"/>
    </w:pPr>
    <w:fldSimple w:instr="PAGE \* MERGEFORMAT">
      <w:r>
        <w:rPr>
          <w:sz w:val="22"/>
          <w:szCs w:val="22"/>
        </w:rPr>
        <w:t xml:space="preserve">1</w:t>
      </w:r>
    </w:fldSimple>
    <w:r>
      <w:rPr>
        <w:sz w:val="22"/>
        <w:szCs w:val="22"/>
      </w:rPr>
    </w:r>
    <w:r/>
  </w:p>
  <w:p>
    <w:pPr>
      <w:pStyle w:val="682"/>
    </w:pP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3"/>
    <w:next w:val="67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7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3"/>
    <w:next w:val="67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7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3"/>
    <w:next w:val="67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7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3"/>
    <w:next w:val="67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7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3"/>
    <w:next w:val="67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7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3"/>
    <w:next w:val="67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3"/>
    <w:next w:val="67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3"/>
    <w:next w:val="67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3"/>
    <w:next w:val="67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3"/>
    <w:next w:val="67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74"/>
    <w:link w:val="34"/>
    <w:uiPriority w:val="10"/>
    <w:rPr>
      <w:sz w:val="48"/>
      <w:szCs w:val="48"/>
    </w:rPr>
  </w:style>
  <w:style w:type="paragraph" w:styleId="36">
    <w:name w:val="Subtitle"/>
    <w:basedOn w:val="673"/>
    <w:next w:val="67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74"/>
    <w:link w:val="36"/>
    <w:uiPriority w:val="11"/>
    <w:rPr>
      <w:sz w:val="24"/>
      <w:szCs w:val="24"/>
    </w:rPr>
  </w:style>
  <w:style w:type="paragraph" w:styleId="38">
    <w:name w:val="Quote"/>
    <w:basedOn w:val="673"/>
    <w:next w:val="67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3"/>
    <w:next w:val="67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74"/>
    <w:link w:val="680"/>
    <w:uiPriority w:val="99"/>
  </w:style>
  <w:style w:type="character" w:styleId="45">
    <w:name w:val="Footer Char"/>
    <w:basedOn w:val="674"/>
    <w:link w:val="682"/>
    <w:uiPriority w:val="99"/>
  </w:style>
  <w:style w:type="paragraph" w:styleId="46">
    <w:name w:val="Caption"/>
    <w:basedOn w:val="673"/>
    <w:next w:val="67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82"/>
    <w:uiPriority w:val="99"/>
  </w:style>
  <w:style w:type="table" w:styleId="48">
    <w:name w:val="Table Grid"/>
    <w:basedOn w:val="67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7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74"/>
    <w:uiPriority w:val="99"/>
    <w:unhideWhenUsed/>
    <w:rPr>
      <w:vertAlign w:val="superscript"/>
    </w:rPr>
  </w:style>
  <w:style w:type="character" w:styleId="179">
    <w:name w:val="Endnote Text Char"/>
    <w:link w:val="677"/>
    <w:uiPriority w:val="99"/>
    <w:rPr>
      <w:sz w:val="20"/>
    </w:rPr>
  </w:style>
  <w:style w:type="paragraph" w:styleId="181">
    <w:name w:val="toc 1"/>
    <w:basedOn w:val="673"/>
    <w:next w:val="67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3"/>
    <w:next w:val="67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3"/>
    <w:next w:val="67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3"/>
    <w:next w:val="67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3"/>
    <w:next w:val="67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3"/>
    <w:next w:val="67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3"/>
    <w:next w:val="67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3"/>
    <w:next w:val="67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3"/>
    <w:next w:val="67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3"/>
    <w:next w:val="673"/>
    <w:uiPriority w:val="99"/>
    <w:unhideWhenUsed/>
    <w:pPr>
      <w:spacing w:after="0" w:afterAutospacing="0"/>
    </w:pPr>
  </w:style>
  <w:style w:type="paragraph" w:styleId="67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74" w:default="1">
    <w:name w:val="Default Paragraph Font"/>
    <w:uiPriority w:val="1"/>
    <w:semiHidden/>
    <w:unhideWhenUsed/>
  </w:style>
  <w:style w:type="table" w:styleId="67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6" w:default="1">
    <w:name w:val="No List"/>
    <w:uiPriority w:val="99"/>
    <w:semiHidden/>
    <w:unhideWhenUsed/>
  </w:style>
  <w:style w:type="paragraph" w:styleId="677">
    <w:name w:val="endnote text"/>
    <w:basedOn w:val="673"/>
    <w:link w:val="678"/>
    <w:uiPriority w:val="99"/>
    <w:rPr>
      <w:sz w:val="20"/>
      <w:szCs w:val="20"/>
    </w:rPr>
  </w:style>
  <w:style w:type="character" w:styleId="678" w:customStyle="1">
    <w:name w:val="Текст концевой сноски Знак"/>
    <w:basedOn w:val="674"/>
    <w:link w:val="67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79">
    <w:name w:val="endnote reference"/>
    <w:uiPriority w:val="99"/>
    <w:rPr>
      <w:vertAlign w:val="superscript"/>
    </w:rPr>
  </w:style>
  <w:style w:type="paragraph" w:styleId="680">
    <w:name w:val="Header"/>
    <w:basedOn w:val="673"/>
    <w:link w:val="68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81" w:customStyle="1">
    <w:name w:val="Верхний колонтитул Знак"/>
    <w:basedOn w:val="674"/>
    <w:link w:val="68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2">
    <w:name w:val="Footer"/>
    <w:basedOn w:val="673"/>
    <w:link w:val="68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83" w:customStyle="1">
    <w:name w:val="Нижний колонтитул Знак"/>
    <w:basedOn w:val="674"/>
    <w:link w:val="68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Мария Константиновна</dc:creator>
  <cp:keywords/>
  <dc:description/>
  <cp:lastModifiedBy>tayurskaya_en</cp:lastModifiedBy>
  <cp:revision>7</cp:revision>
  <dcterms:created xsi:type="dcterms:W3CDTF">2023-12-28T06:14:00Z</dcterms:created>
  <dcterms:modified xsi:type="dcterms:W3CDTF">2025-02-13T01:36:23Z</dcterms:modified>
</cp:coreProperties>
</file>